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63E" w:rsidRPr="00B84F2F" w:rsidRDefault="00FB763E" w:rsidP="00B84F2F">
      <w:pPr>
        <w:jc w:val="center"/>
        <w:rPr>
          <w:b/>
        </w:rPr>
      </w:pPr>
    </w:p>
    <w:p w:rsidR="00B84F2F" w:rsidRDefault="00B84F2F" w:rsidP="00B84F2F">
      <w:pPr>
        <w:jc w:val="center"/>
        <w:rPr>
          <w:b/>
        </w:rPr>
      </w:pPr>
    </w:p>
    <w:p w:rsidR="00B84F2F" w:rsidRDefault="00B84F2F" w:rsidP="00B84F2F">
      <w:pPr>
        <w:jc w:val="center"/>
        <w:rPr>
          <w:b/>
        </w:rPr>
      </w:pPr>
    </w:p>
    <w:p w:rsidR="00B84F2F" w:rsidRPr="00B84F2F" w:rsidRDefault="00B84F2F" w:rsidP="00B84F2F">
      <w:pPr>
        <w:jc w:val="center"/>
        <w:rPr>
          <w:b/>
        </w:rPr>
      </w:pPr>
      <w:r w:rsidRPr="00B84F2F">
        <w:rPr>
          <w:b/>
        </w:rPr>
        <w:t>Criminal Law: Criminal Justice System</w:t>
      </w:r>
    </w:p>
    <w:p w:rsidR="00B84F2F" w:rsidRDefault="00B84F2F" w:rsidP="00B84F2F">
      <w:pPr>
        <w:jc w:val="center"/>
      </w:pPr>
      <w:r>
        <w:t>Student Name:</w:t>
      </w:r>
    </w:p>
    <w:p w:rsidR="00FB763E" w:rsidRDefault="00B84F2F" w:rsidP="00B84F2F">
      <w:pPr>
        <w:jc w:val="center"/>
      </w:pPr>
      <w:r>
        <w:t>Affiliate Institution:</w:t>
      </w:r>
      <w:r w:rsidR="00FB763E">
        <w:br w:type="page"/>
      </w:r>
    </w:p>
    <w:p w:rsidR="004B28B7" w:rsidRPr="00B84F2F" w:rsidRDefault="004B28B7" w:rsidP="005027E6">
      <w:pPr>
        <w:rPr>
          <w:b/>
        </w:rPr>
      </w:pPr>
      <w:r w:rsidRPr="00B84F2F">
        <w:rPr>
          <w:b/>
        </w:rPr>
        <w:lastRenderedPageBreak/>
        <w:t xml:space="preserve">Introduction </w:t>
      </w:r>
    </w:p>
    <w:p w:rsidR="008F26D2" w:rsidRPr="00B84F2F" w:rsidRDefault="008F26D2" w:rsidP="005027E6">
      <w:pPr>
        <w:rPr>
          <w:b/>
        </w:rPr>
      </w:pPr>
      <w:r w:rsidRPr="00B84F2F">
        <w:rPr>
          <w:b/>
        </w:rPr>
        <w:t xml:space="preserve">Criminal </w:t>
      </w:r>
      <w:r w:rsidR="00B84F2F" w:rsidRPr="00B84F2F">
        <w:rPr>
          <w:b/>
        </w:rPr>
        <w:t xml:space="preserve">Elements </w:t>
      </w:r>
    </w:p>
    <w:p w:rsidR="00223DD7" w:rsidRDefault="00456D3B" w:rsidP="005027E6">
      <w:r>
        <w:t xml:space="preserve">Following </w:t>
      </w:r>
      <w:r w:rsidR="00533A3C">
        <w:t>legal experts, there are seven elements of a crime which are intent, concurrence, legality, occurrence, cause, harm</w:t>
      </w:r>
      <w:r w:rsidR="00341750">
        <w:t>,</w:t>
      </w:r>
      <w:r w:rsidR="00533A3C">
        <w:t xml:space="preserve"> and punishment</w:t>
      </w:r>
      <w:sdt>
        <w:sdtPr>
          <w:id w:val="39530044"/>
          <w:citation/>
        </w:sdtPr>
        <w:sdtContent>
          <w:fldSimple w:instr=" CITATION Whi17 \l 1033 ">
            <w:r w:rsidR="00BE4A74">
              <w:rPr>
                <w:noProof/>
              </w:rPr>
              <w:t xml:space="preserve"> (Whitt, 2017)</w:t>
            </w:r>
          </w:fldSimple>
        </w:sdtContent>
      </w:sdt>
      <w:r w:rsidR="00533A3C">
        <w:t xml:space="preserve">. </w:t>
      </w:r>
      <w:r w:rsidR="00341750">
        <w:t>An e</w:t>
      </w:r>
      <w:r w:rsidR="00942AB8">
        <w:t>xception of these seven elements, there are the main elements which are the criminal act typically known as the “</w:t>
      </w:r>
      <w:proofErr w:type="spellStart"/>
      <w:r w:rsidR="00942AB8" w:rsidRPr="0077008F">
        <w:t>actus</w:t>
      </w:r>
      <w:proofErr w:type="spellEnd"/>
      <w:r w:rsidR="00942AB8" w:rsidRPr="0077008F">
        <w:t xml:space="preserve"> </w:t>
      </w:r>
      <w:proofErr w:type="spellStart"/>
      <w:r w:rsidR="00942AB8" w:rsidRPr="0077008F">
        <w:t>reus</w:t>
      </w:r>
      <w:proofErr w:type="spellEnd"/>
      <w:r w:rsidR="00942AB8">
        <w:t>”, the criminal intent alias the “</w:t>
      </w:r>
      <w:r w:rsidR="00942AB8" w:rsidRPr="0077008F">
        <w:t>men</w:t>
      </w:r>
      <w:r w:rsidR="00341750">
        <w:t>'</w:t>
      </w:r>
      <w:r w:rsidR="00942AB8" w:rsidRPr="0077008F">
        <w:t xml:space="preserve">s </w:t>
      </w:r>
      <w:proofErr w:type="spellStart"/>
      <w:r w:rsidR="00942AB8" w:rsidRPr="0077008F">
        <w:t>rea</w:t>
      </w:r>
      <w:proofErr w:type="spellEnd"/>
      <w:r w:rsidR="00942AB8">
        <w:t>” and concurrence of the duet. Some instance</w:t>
      </w:r>
      <w:r w:rsidR="00341750">
        <w:t xml:space="preserve"> of</w:t>
      </w:r>
      <w:r w:rsidR="00942AB8">
        <w:t xml:space="preserve"> conduct is a term </w:t>
      </w:r>
      <w:r w:rsidR="00341750">
        <w:t>that</w:t>
      </w:r>
      <w:r w:rsidR="00942AB8">
        <w:t xml:space="preserve"> is deployed to expound criminal act as well as the intent elements.</w:t>
      </w:r>
      <w:r w:rsidR="00223DD7">
        <w:t xml:space="preserve"> On the other hand, there are many distinct defenses to criminal liability where some of the typical defenses are according to </w:t>
      </w:r>
      <w:r w:rsidR="00223DD7" w:rsidRPr="005F103A">
        <w:t>Champion, 2012</w:t>
      </w:r>
      <w:r w:rsidR="00223DD7">
        <w:t xml:space="preserve"> include “alibi, automatism, coercion or</w:t>
      </w:r>
      <w:r w:rsidR="00223DD7" w:rsidRPr="005F103A">
        <w:t xml:space="preserve"> duress, defense of property, entrapment, ignorance or mistake, intoxication, insanity, necessity, an</w:t>
      </w:r>
      <w:r w:rsidR="00223DD7">
        <w:t xml:space="preserve">d self-defense” </w:t>
      </w:r>
    </w:p>
    <w:p w:rsidR="006026C7" w:rsidRDefault="007B5FE9" w:rsidP="005027E6">
      <w:r>
        <w:t>Individually, under the Model Pen</w:t>
      </w:r>
      <w:r w:rsidR="00772A28">
        <w:t>al Code, crimes are expounded singularly</w:t>
      </w:r>
      <w:r>
        <w:t xml:space="preserve"> on elements of the offense. Each of the elements of </w:t>
      </w:r>
      <w:r w:rsidR="00341750">
        <w:t xml:space="preserve">the </w:t>
      </w:r>
      <w:r>
        <w:t>offense is obligated to be proven to the finder fact beyond a reasonable doubt. They include the conduct of certain nature, attendant mental state of the conduct</w:t>
      </w:r>
      <w:r w:rsidR="00341750">
        <w:t>,</w:t>
      </w:r>
      <w:r>
        <w:t xml:space="preserve"> and the resultant of the conduct</w:t>
      </w:r>
      <w:sdt>
        <w:sdtPr>
          <w:id w:val="39530045"/>
          <w:citation/>
        </w:sdtPr>
        <w:sdtContent>
          <w:fldSimple w:instr=" CITATION Whi17 \l 1033 ">
            <w:r w:rsidR="00BE4A74">
              <w:rPr>
                <w:noProof/>
              </w:rPr>
              <w:t xml:space="preserve"> (Whitt, 2017)</w:t>
            </w:r>
          </w:fldSimple>
        </w:sdtContent>
      </w:sdt>
      <w:r>
        <w:t xml:space="preserve">. It should be noted that elements are the facts that are inclusive of </w:t>
      </w:r>
      <w:r w:rsidR="00341750">
        <w:t xml:space="preserve">the </w:t>
      </w:r>
      <w:r>
        <w:t xml:space="preserve">definition of prohibited behavior as explained by the statute, or established the requisite culpability, or nullify an excuse or justification of that behavior, or disclaim a defense following the limitation of </w:t>
      </w:r>
      <w:r w:rsidR="00341750">
        <w:t xml:space="preserve">the </w:t>
      </w:r>
      <w:r>
        <w:t xml:space="preserve">statute or inaugurate jurisdiction or place. </w:t>
      </w:r>
    </w:p>
    <w:p w:rsidR="009D27B9" w:rsidRDefault="007B5FE9" w:rsidP="005027E6">
      <w:r>
        <w:t>The elements through prosecution must admit that the defendant had the requisite kind of culpability under the given element predominately last two categories which fall under material elements.</w:t>
      </w:r>
      <w:r w:rsidR="00B9702B">
        <w:t xml:space="preserve"> </w:t>
      </w:r>
      <w:r w:rsidR="009D27B9">
        <w:t xml:space="preserve">Criminal law establishment in different states and preferably its fundamental responsibility is practically done distinctively, of which it has induced commonality over time </w:t>
      </w:r>
      <w:r w:rsidR="009D27B9">
        <w:lastRenderedPageBreak/>
        <w:t>among the numerous state penal law. Thus</w:t>
      </w:r>
      <w:r w:rsidR="00341750">
        <w:t>,</w:t>
      </w:r>
      <w:r w:rsidR="009D27B9">
        <w:t xml:space="preserve"> in this case, </w:t>
      </w:r>
      <w:r w:rsidR="00341750">
        <w:t xml:space="preserve">the </w:t>
      </w:r>
      <w:r w:rsidR="009D27B9">
        <w:t xml:space="preserve">Model Penal Code was supposed o be an extensive criminal law allowing for similar code to be passed in various dominions </w:t>
      </w:r>
    </w:p>
    <w:p w:rsidR="008005F8" w:rsidRPr="00B84F2F" w:rsidRDefault="008005F8" w:rsidP="005027E6">
      <w:pPr>
        <w:rPr>
          <w:b/>
        </w:rPr>
      </w:pPr>
      <w:r w:rsidRPr="00B84F2F">
        <w:rPr>
          <w:b/>
        </w:rPr>
        <w:t xml:space="preserve">Three </w:t>
      </w:r>
      <w:r w:rsidR="00B84F2F" w:rsidRPr="00B84F2F">
        <w:rPr>
          <w:b/>
        </w:rPr>
        <w:t xml:space="preserve">Element Crime </w:t>
      </w:r>
      <w:proofErr w:type="gramStart"/>
      <w:r w:rsidR="00B84F2F" w:rsidRPr="00B84F2F">
        <w:rPr>
          <w:b/>
        </w:rPr>
        <w:t>Example</w:t>
      </w:r>
      <w:proofErr w:type="gramEnd"/>
    </w:p>
    <w:p w:rsidR="00EC0BFB" w:rsidRDefault="00FB5D89" w:rsidP="005027E6">
      <w:r>
        <w:t xml:space="preserve">An example of </w:t>
      </w:r>
      <w:r w:rsidR="00341750">
        <w:t xml:space="preserve">a </w:t>
      </w:r>
      <w:r>
        <w:t xml:space="preserve">crime is the fight between </w:t>
      </w:r>
      <w:r w:rsidR="00341750">
        <w:t xml:space="preserve">the </w:t>
      </w:r>
      <w:r>
        <w:t xml:space="preserve">boyfriend and his girlfriend. In the </w:t>
      </w:r>
      <w:r w:rsidR="009476F3">
        <w:t>midlist</w:t>
      </w:r>
      <w:r>
        <w:t xml:space="preserve"> of the disagreement, the girlfriend takes their car keys from </w:t>
      </w:r>
      <w:r w:rsidR="00341750">
        <w:t xml:space="preserve">the </w:t>
      </w:r>
      <w:r w:rsidR="009476F3">
        <w:t>boyfriend’s</w:t>
      </w:r>
      <w:r>
        <w:t xml:space="preserve"> hand. She locks herself in the car and the boyfriend tries to stop her by standing </w:t>
      </w:r>
      <w:r w:rsidR="009476F3">
        <w:t>in front</w:t>
      </w:r>
      <w:r>
        <w:t xml:space="preserve"> of the car.</w:t>
      </w:r>
      <w:r w:rsidR="009476F3">
        <w:t xml:space="preserve"> Angrily and hurriedly the girlfriend ignited the car and runs over her boyfriend. Fortunately, following the </w:t>
      </w:r>
      <w:r w:rsidR="007B12AC">
        <w:t>argument</w:t>
      </w:r>
      <w:r w:rsidR="009476F3">
        <w:t xml:space="preserve"> was made at dusk, she had not been able to see clearly and thus the boyfriend managed to get o</w:t>
      </w:r>
      <w:r w:rsidR="007B12AC">
        <w:t>u</w:t>
      </w:r>
      <w:r w:rsidR="009476F3">
        <w:t xml:space="preserve">t of way and got no harm. Unfortunately either the girlfriend is arrested and charged with attempt murder. The prosecution hence has to manifest the elements of </w:t>
      </w:r>
      <w:r w:rsidR="00341750">
        <w:t xml:space="preserve">the </w:t>
      </w:r>
      <w:r w:rsidR="009476F3">
        <w:t xml:space="preserve">criminal act, criminal intent, and concurrence for set out murder. </w:t>
      </w:r>
      <w:r w:rsidR="008005F8">
        <w:t xml:space="preserve">In this case, the court will not evince causation or that the boyfriend was harmed for trial crimes, inclusive of tried murder, do not have an evil resultant requisite. </w:t>
      </w:r>
    </w:p>
    <w:p w:rsidR="00A16EE6" w:rsidRPr="00B84F2F" w:rsidRDefault="00A16EE6" w:rsidP="005027E6">
      <w:pPr>
        <w:rPr>
          <w:b/>
        </w:rPr>
      </w:pPr>
      <w:r w:rsidRPr="00B84F2F">
        <w:rPr>
          <w:b/>
        </w:rPr>
        <w:t xml:space="preserve">Crime </w:t>
      </w:r>
      <w:r w:rsidR="00B84F2F" w:rsidRPr="00B84F2F">
        <w:rPr>
          <w:b/>
        </w:rPr>
        <w:t xml:space="preserve">Classification </w:t>
      </w:r>
      <w:proofErr w:type="gramStart"/>
      <w:r w:rsidR="00B84F2F" w:rsidRPr="00B84F2F">
        <w:rPr>
          <w:b/>
        </w:rPr>
        <w:t>And</w:t>
      </w:r>
      <w:proofErr w:type="gramEnd"/>
      <w:r w:rsidR="00B84F2F" w:rsidRPr="00B84F2F">
        <w:rPr>
          <w:b/>
        </w:rPr>
        <w:t xml:space="preserve"> Penalties </w:t>
      </w:r>
    </w:p>
    <w:p w:rsidR="002F49CD" w:rsidRDefault="00A16EE6" w:rsidP="005027E6">
      <w:r>
        <w:t>Offenses are typically classified into four brackets</w:t>
      </w:r>
      <w:r w:rsidRPr="00A16EE6">
        <w:t>: felonies, misdemeanors, felony-misdemeanors, and infractions</w:t>
      </w:r>
      <w:r>
        <w:t>.</w:t>
      </w:r>
      <w:r w:rsidR="008C6621">
        <w:t xml:space="preserve"> However, the criminal intent element influences or determines the crime gr</w:t>
      </w:r>
      <w:r w:rsidR="009076E0">
        <w:t xml:space="preserve">ouping and fundamentally as well as substantive is the listing of these offenses following the severity of the penalty. </w:t>
      </w:r>
      <w:r w:rsidR="008E2B65">
        <w:t>Generally, through American law, the prosecution process determines the intensity of the crime. The sentencing for instance from the above example of boyfriend and girlfr</w:t>
      </w:r>
      <w:r w:rsidR="00F42052">
        <w:t>iend crime of attempt murder which in this case can be categorized as first degree attempted murder or second</w:t>
      </w:r>
      <w:r w:rsidR="00341750">
        <w:t>-</w:t>
      </w:r>
      <w:r w:rsidR="00F42052">
        <w:t>degree murder is punishable differently</w:t>
      </w:r>
      <w:sdt>
        <w:sdtPr>
          <w:id w:val="39530046"/>
          <w:citation/>
        </w:sdtPr>
        <w:sdtContent>
          <w:fldSimple w:instr=" CITATION Cro18 \l 1033 ">
            <w:r w:rsidR="00BE4A74">
              <w:rPr>
                <w:noProof/>
              </w:rPr>
              <w:t xml:space="preserve"> (Crowther, 2018)</w:t>
            </w:r>
          </w:fldSimple>
        </w:sdtContent>
      </w:sdt>
      <w:r w:rsidR="00F42052">
        <w:t xml:space="preserve">. </w:t>
      </w:r>
    </w:p>
    <w:p w:rsidR="004607E6" w:rsidRDefault="00F42052" w:rsidP="005027E6">
      <w:r>
        <w:t>First</w:t>
      </w:r>
      <w:r w:rsidR="00341750">
        <w:t>-</w:t>
      </w:r>
      <w:r>
        <w:t xml:space="preserve">degree attempt murder is punishable with a life sentence with a possibility of the convicted not receiving parole. On the other hand, second degree attempted murder is punishable </w:t>
      </w:r>
      <w:r>
        <w:lastRenderedPageBreak/>
        <w:t xml:space="preserve">of </w:t>
      </w:r>
      <w:r w:rsidR="00341750">
        <w:t xml:space="preserve">a </w:t>
      </w:r>
      <w:r>
        <w:t xml:space="preserve">lengthy prison sentence which can range between five to fifteen years in prison. </w:t>
      </w:r>
      <w:r w:rsidR="00F00750">
        <w:t>The Criminal sentencing is stipulated and follows the Criminal Attempts Act 1981 section</w:t>
      </w:r>
      <w:r w:rsidR="00444E4C">
        <w:t xml:space="preserve"> </w:t>
      </w:r>
      <w:r w:rsidR="00F00750">
        <w:t xml:space="preserve">(1) with </w:t>
      </w:r>
      <w:r w:rsidR="00341750">
        <w:t xml:space="preserve">a </w:t>
      </w:r>
      <w:r w:rsidR="00F00750">
        <w:t xml:space="preserve">maximum of life imprisonment. </w:t>
      </w:r>
      <w:r w:rsidR="002F49CD">
        <w:t xml:space="preserve"> </w:t>
      </w:r>
      <w:r w:rsidR="00553DC8">
        <w:t xml:space="preserve">The case between the boyfriend and girlfriend, it can be classified as level three according to </w:t>
      </w:r>
      <w:r w:rsidR="00553DC8" w:rsidRPr="00553DC8">
        <w:t>purposes of s.224 of the Criminal Justice Act 2003</w:t>
      </w:r>
      <w:r w:rsidR="00553DC8">
        <w:t xml:space="preserve"> for had little or no physical or psychological harm and thus sentencing ranges from 6yrs in custody to 14years in custody.</w:t>
      </w:r>
    </w:p>
    <w:p w:rsidR="008E2B65" w:rsidRPr="00B84F2F" w:rsidRDefault="004607E6" w:rsidP="005027E6">
      <w:pPr>
        <w:rPr>
          <w:b/>
        </w:rPr>
      </w:pPr>
      <w:r w:rsidRPr="00B84F2F">
        <w:rPr>
          <w:b/>
        </w:rPr>
        <w:t xml:space="preserve">Culpable </w:t>
      </w:r>
      <w:r w:rsidR="00B84F2F" w:rsidRPr="00B84F2F">
        <w:rPr>
          <w:b/>
        </w:rPr>
        <w:t xml:space="preserve">Mental States </w:t>
      </w:r>
      <w:proofErr w:type="gramStart"/>
      <w:r w:rsidR="00B84F2F" w:rsidRPr="00B84F2F">
        <w:rPr>
          <w:b/>
        </w:rPr>
        <w:t>And</w:t>
      </w:r>
      <w:proofErr w:type="gramEnd"/>
      <w:r w:rsidR="00B84F2F" w:rsidRPr="00B84F2F">
        <w:rPr>
          <w:b/>
        </w:rPr>
        <w:t xml:space="preserve"> Criminal Responsibility</w:t>
      </w:r>
    </w:p>
    <w:p w:rsidR="008E2B65" w:rsidRDefault="0089084B" w:rsidP="005027E6">
      <w:r>
        <w:t>Beside</w:t>
      </w:r>
      <w:r w:rsidR="00341750">
        <w:t>s</w:t>
      </w:r>
      <w:r>
        <w:t xml:space="preserve"> the American law and constitution, universally it is acceptable that appropriate cases the defendant suffering from mental incapability should be relieved from the consequences of the committed offenses. </w:t>
      </w:r>
      <w:r w:rsidR="0096056D">
        <w:t xml:space="preserve">Fortunately or unfortunately, there has been a controversy for the convicted to be legally tested of responsibility. Various legal explanations of mental incapability aren’t centered on the trending medical science but </w:t>
      </w:r>
      <w:r w:rsidR="00341750">
        <w:t xml:space="preserve">the </w:t>
      </w:r>
      <w:r w:rsidR="0096056D">
        <w:t>psychiatrist find</w:t>
      </w:r>
      <w:r w:rsidR="008123E7">
        <w:t>s</w:t>
      </w:r>
      <w:r w:rsidR="0096056D">
        <w:t xml:space="preserve"> it arduous to expound and satisfy the qualified demands of the court.</w:t>
      </w:r>
      <w:r w:rsidR="003E31C0">
        <w:t xml:space="preserve"> </w:t>
      </w:r>
      <w:r w:rsidR="00200F5D">
        <w:t>Over the ages</w:t>
      </w:r>
      <w:r w:rsidR="00341750">
        <w:t>,</w:t>
      </w:r>
      <w:r w:rsidR="00200F5D">
        <w:t xml:space="preserve"> new trails have been made to make new legal test responsibilit</w:t>
      </w:r>
      <w:r w:rsidR="00341750">
        <w:t>ies</w:t>
      </w:r>
      <w:r w:rsidR="00200F5D">
        <w:t xml:space="preserve">. The MPC made a quest to quench the manifold impossible on the issue by demanding the defendant to be destitute of substantial ability either to reward the criminality of his behavior or to </w:t>
      </w:r>
      <w:r w:rsidR="00275EF5">
        <w:t>structure into the requisites of the law as a result of mental disorder or defect</w:t>
      </w:r>
      <w:r w:rsidR="008E2B65">
        <w:t>.</w:t>
      </w:r>
    </w:p>
    <w:p w:rsidR="00402DAC" w:rsidRDefault="00AF7D44" w:rsidP="005027E6">
      <w:r>
        <w:t>For instance, an insane individual is excused only if he did not have clear knowledge the nature as well as the quality of the cat he did or the fact that he could barely distinguish the right from the wrong.</w:t>
      </w:r>
      <w:r w:rsidR="00937B4C">
        <w:t xml:space="preserve"> Alongside the American Criminal law is the</w:t>
      </w:r>
      <w:r w:rsidR="002E6009">
        <w:t xml:space="preserve"> “English Homicide Act of 1957” which acknowledges reducing responsibility, though to less effect. Through the act, an individual who murders another shall not be guilty of murder if during the time of act</w:t>
      </w:r>
      <w:r w:rsidR="00341750">
        <w:t>ion</w:t>
      </w:r>
      <w:r w:rsidR="002E6009">
        <w:t xml:space="preserve"> he was suffering from and other related abnormality of mind as substantially impaired his mental responsibility </w:t>
      </w:r>
      <w:r w:rsidR="002E6009">
        <w:lastRenderedPageBreak/>
        <w:t>for his deed otherwise omission in acting or being a participant to the murder</w:t>
      </w:r>
      <w:sdt>
        <w:sdtPr>
          <w:id w:val="39530047"/>
          <w:citation/>
        </w:sdtPr>
        <w:sdtContent>
          <w:fldSimple w:instr=" CITATION Wil17 \l 1033 ">
            <w:r w:rsidR="00BE4A74">
              <w:rPr>
                <w:noProof/>
              </w:rPr>
              <w:t xml:space="preserve"> (Williams, 2017)</w:t>
            </w:r>
          </w:fldSimple>
        </w:sdtContent>
      </w:sdt>
      <w:r w:rsidR="002E6009">
        <w:t xml:space="preserve">. The fundamental effect of the act provision is to diminish the crime of murder to </w:t>
      </w:r>
      <w:r w:rsidR="00402DAC">
        <w:t>o</w:t>
      </w:r>
      <w:r w:rsidR="002E6009">
        <w:t>ne of manslaughter.</w:t>
      </w:r>
      <w:r w:rsidR="003F497D">
        <w:t xml:space="preserve"> </w:t>
      </w:r>
      <w:r w:rsidR="00402DAC">
        <w:t xml:space="preserve">Indifferently, intoxication is not categorized under mental disorder or incapability. Through American law, which is similar to the </w:t>
      </w:r>
      <w:r w:rsidR="00341750">
        <w:t>S</w:t>
      </w:r>
      <w:r w:rsidR="00402DAC">
        <w:t>oviet law, it hold</w:t>
      </w:r>
      <w:r w:rsidR="00341750">
        <w:t>s</w:t>
      </w:r>
      <w:r w:rsidR="00402DAC">
        <w:t xml:space="preserve"> that the mental disease defense </w:t>
      </w:r>
      <w:r w:rsidR="00341750">
        <w:t>does not apply</w:t>
      </w:r>
      <w:r w:rsidR="00402DAC">
        <w:t xml:space="preserve"> to an individual who commits a crime while drunk </w:t>
      </w:r>
      <w:r w:rsidR="00D221D6">
        <w:t xml:space="preserve">and the state of being drunk is either considered as the aggravating cause or otherwise. </w:t>
      </w:r>
      <w:r w:rsidR="00402DAC">
        <w:t xml:space="preserve"> </w:t>
      </w:r>
      <w:r w:rsidR="00D221D6">
        <w:t xml:space="preserve">Comparatively with other nations, in Germany, the law propagates intoxication as </w:t>
      </w:r>
      <w:r w:rsidR="00341750">
        <w:t xml:space="preserve">a </w:t>
      </w:r>
      <w:r w:rsidR="00D221D6">
        <w:t>mental defect and it is acceptable in defense criminal cases</w:t>
      </w:r>
      <w:sdt>
        <w:sdtPr>
          <w:id w:val="39530049"/>
          <w:citation/>
        </w:sdtPr>
        <w:sdtContent>
          <w:fldSimple w:instr=" CITATION Geo12 \l 1033 ">
            <w:r w:rsidR="00B84F2F">
              <w:rPr>
                <w:noProof/>
              </w:rPr>
              <w:t xml:space="preserve"> (George, 2012)</w:t>
            </w:r>
          </w:fldSimple>
        </w:sdtContent>
      </w:sdt>
      <w:r w:rsidR="00D221D6">
        <w:t xml:space="preserve">.  </w:t>
      </w:r>
    </w:p>
    <w:p w:rsidR="003E763F" w:rsidRDefault="003E763F" w:rsidP="005027E6">
      <w:r>
        <w:t xml:space="preserve">Accordingly in the law, a criminal act is usually termed and acceptable if voluntary </w:t>
      </w:r>
      <w:r w:rsidR="000E7F63">
        <w:t xml:space="preserve">acted by the defendant, meaning he has or had the control of what he committed. </w:t>
      </w:r>
      <w:r w:rsidR="00EA2403">
        <w:t xml:space="preserve">“Following the model penal code, it provides the following as involuntary during criminal prosecution </w:t>
      </w:r>
      <w:r w:rsidR="00EA2403" w:rsidRPr="00EA2403">
        <w:t>reflexes, convulsions, bodily movements during unconsciousness or sleep, conduct during hypnosis or resulting from hypnotic suggestion, or a bodily movement that otherwise is not a product of the effort or determination of the actor, either conscious</w:t>
      </w:r>
      <w:r w:rsidR="00EA2403">
        <w:t xml:space="preserve"> or </w:t>
      </w:r>
      <w:r w:rsidR="00AE4E7E">
        <w:t>habitual</w:t>
      </w:r>
      <w:r w:rsidR="00AE4E7E" w:rsidRPr="00AE4E7E">
        <w:t xml:space="preserve"> </w:t>
      </w:r>
      <w:sdt>
        <w:sdtPr>
          <w:id w:val="39530041"/>
          <w:citation/>
        </w:sdtPr>
        <w:sdtContent>
          <w:fldSimple w:instr=" CITATION USM10 \l 1033  ">
            <w:r w:rsidR="00AE4E7E">
              <w:rPr>
                <w:noProof/>
              </w:rPr>
              <w:t>(US MPC 2.01(2), 2010)</w:t>
            </w:r>
          </w:fldSimple>
        </w:sdtContent>
      </w:sdt>
      <w:r w:rsidR="00AE4E7E">
        <w:t xml:space="preserve"> </w:t>
      </w:r>
      <w:r w:rsidR="00EA2403">
        <w:t xml:space="preserve">To fulfill the voluntary act requirement, one voluntary act is sufficient. According to the case of </w:t>
      </w:r>
      <w:r w:rsidR="00EA2403" w:rsidRPr="003E763F">
        <w:t xml:space="preserve">Govt. of </w:t>
      </w:r>
      <w:r w:rsidR="00341750">
        <w:t xml:space="preserve">the </w:t>
      </w:r>
      <w:r w:rsidR="00EA2403" w:rsidRPr="003E763F">
        <w:t>Virgin Islands v. Smith, 2010</w:t>
      </w:r>
      <w:r w:rsidR="00EA2403">
        <w:t xml:space="preserve">, </w:t>
      </w:r>
      <w:r w:rsidR="00EA2403" w:rsidRPr="003E763F">
        <w:t xml:space="preserve">if a voluntary act is </w:t>
      </w:r>
      <w:r w:rsidR="00EA2403">
        <w:t>accompanied by an involuntary act</w:t>
      </w:r>
      <w:r w:rsidR="00EA2403" w:rsidRPr="003E763F">
        <w:t xml:space="preserve">, the court may still </w:t>
      </w:r>
      <w:r w:rsidR="00EA2403">
        <w:t>foist</w:t>
      </w:r>
      <w:r w:rsidR="00EA2403" w:rsidRPr="003E763F">
        <w:t xml:space="preserve"> criminal liability</w:t>
      </w:r>
      <w:r w:rsidR="00EA2403">
        <w:t xml:space="preserve"> based</w:t>
      </w:r>
      <w:r w:rsidR="00EA2403" w:rsidRPr="003E763F">
        <w:t xml:space="preserve"> on the </w:t>
      </w:r>
      <w:r w:rsidR="00EA2403">
        <w:t xml:space="preserve">incidents. </w:t>
      </w:r>
      <w:r w:rsidR="00992C56">
        <w:t xml:space="preserve"> In our case, the girlfriend is voluntarily acting the crime by running over the boyfriend. </w:t>
      </w:r>
    </w:p>
    <w:p w:rsidR="00EE6719" w:rsidRPr="00B84F2F" w:rsidRDefault="00EE6719" w:rsidP="005027E6">
      <w:pPr>
        <w:rPr>
          <w:b/>
          <w:lang w:val="en-GB"/>
        </w:rPr>
      </w:pPr>
      <w:r w:rsidRPr="00B84F2F">
        <w:rPr>
          <w:b/>
          <w:lang w:val="en-GB"/>
        </w:rPr>
        <w:t xml:space="preserve">Impact </w:t>
      </w:r>
      <w:proofErr w:type="gramStart"/>
      <w:r w:rsidR="00B84F2F" w:rsidRPr="00B84F2F">
        <w:rPr>
          <w:b/>
          <w:lang w:val="en-GB"/>
        </w:rPr>
        <w:t>Of</w:t>
      </w:r>
      <w:proofErr w:type="gramEnd"/>
      <w:r w:rsidR="00B84F2F" w:rsidRPr="00B84F2F">
        <w:rPr>
          <w:b/>
          <w:lang w:val="en-GB"/>
        </w:rPr>
        <w:t xml:space="preserve"> History And Philosophy On Current Criminal Laws</w:t>
      </w:r>
    </w:p>
    <w:p w:rsidR="00F855BC" w:rsidRDefault="00F855BC" w:rsidP="005027E6">
      <w:r>
        <w:t xml:space="preserve">Objectively, </w:t>
      </w:r>
      <w:r w:rsidR="00341750">
        <w:t xml:space="preserve">the </w:t>
      </w:r>
      <w:r>
        <w:t>criminal law justice system is not only for punishment and control of criminal</w:t>
      </w:r>
      <w:r w:rsidR="00341750">
        <w:t>s</w:t>
      </w:r>
      <w:r>
        <w:t xml:space="preserve"> but also </w:t>
      </w:r>
      <w:r w:rsidR="00341750">
        <w:t xml:space="preserve">for </w:t>
      </w:r>
      <w:r>
        <w:t>the offering of protection in any significant manner legitimately through the judicial system of punishment as well as control.</w:t>
      </w:r>
      <w:r w:rsidR="004E4035">
        <w:t xml:space="preserve"> Theoretically, criminal justice is </w:t>
      </w:r>
      <w:r w:rsidR="00341750">
        <w:t xml:space="preserve">a </w:t>
      </w:r>
      <w:r w:rsidR="004E4035">
        <w:t xml:space="preserve">subcategory of law concerned with criminal justice specifically punishment. The theory of </w:t>
      </w:r>
      <w:r w:rsidR="004E4035">
        <w:lastRenderedPageBreak/>
        <w:t>criminal justice hence has bond</w:t>
      </w:r>
      <w:r w:rsidR="00341750">
        <w:t>ed</w:t>
      </w:r>
      <w:r w:rsidR="004E4035">
        <w:t xml:space="preserve"> to sectors of philosophy like political and ethical philosophies holding criminal justice in </w:t>
      </w:r>
      <w:r w:rsidR="00341750">
        <w:t xml:space="preserve">the </w:t>
      </w:r>
      <w:r w:rsidR="004E4035">
        <w:t xml:space="preserve">execution  </w:t>
      </w:r>
    </w:p>
    <w:p w:rsidR="00E15CFE" w:rsidRDefault="00AA5ADF" w:rsidP="005027E6">
      <w:r>
        <w:t xml:space="preserve">Pioneer civilization had little knowledge in differentiating civil and criminal law. The law codes were first derived by Sumerians.  Between </w:t>
      </w:r>
      <w:r w:rsidR="00341750">
        <w:t xml:space="preserve">the </w:t>
      </w:r>
      <w:r>
        <w:t>17</w:t>
      </w:r>
      <w:r w:rsidRPr="00AA5ADF">
        <w:rPr>
          <w:vertAlign w:val="superscript"/>
        </w:rPr>
        <w:t>th</w:t>
      </w:r>
      <w:r>
        <w:t xml:space="preserve"> century and late 19</w:t>
      </w:r>
      <w:r w:rsidRPr="00AA5ADF">
        <w:rPr>
          <w:vertAlign w:val="superscript"/>
        </w:rPr>
        <w:t>th</w:t>
      </w:r>
      <w:r>
        <w:t xml:space="preserve"> century, The Old Bailey in London was the </w:t>
      </w:r>
      <w:r w:rsidR="00226E3C">
        <w:t>venue for criminal trials and death penalty cases.</w:t>
      </w:r>
      <w:r w:rsidR="00C8672E">
        <w:t xml:space="preserve"> Modern </w:t>
      </w:r>
      <w:r w:rsidR="00B759F2">
        <w:t>distinction</w:t>
      </w:r>
      <w:r w:rsidR="00C8672E">
        <w:t xml:space="preserve"> emerged during </w:t>
      </w:r>
      <w:r w:rsidR="00341750">
        <w:t xml:space="preserve">the </w:t>
      </w:r>
      <w:r w:rsidR="00C8672E">
        <w:t xml:space="preserve">Norman Invasion of England. </w:t>
      </w:r>
      <w:r w:rsidR="00473E0C">
        <w:t>Since then the law has been improvised and constituted in the National Constitution, which encompasses the laws which govern an</w:t>
      </w:r>
      <w:r w:rsidR="005143B3">
        <w:t>y</w:t>
      </w:r>
      <w:r w:rsidR="00473E0C">
        <w:t xml:space="preserve"> criminal act and </w:t>
      </w:r>
      <w:r w:rsidR="005143B3">
        <w:t>defense</w:t>
      </w:r>
      <w:r w:rsidR="00473E0C">
        <w:t xml:space="preserve"> system</w:t>
      </w:r>
      <w:r w:rsidR="00AE0640">
        <w:t xml:space="preserve">. Modification of those olden laws has been justified through the Congress in </w:t>
      </w:r>
      <w:r w:rsidR="00341750">
        <w:t xml:space="preserve">the </w:t>
      </w:r>
      <w:r w:rsidR="00AE0640">
        <w:t>US as well as the National Assembly to fit into the modern culture and administering of justice</w:t>
      </w:r>
      <w:sdt>
        <w:sdtPr>
          <w:id w:val="39530048"/>
          <w:citation/>
        </w:sdtPr>
        <w:sdtContent>
          <w:fldSimple w:instr=" CITATION Jac13 \l 1033 ">
            <w:r w:rsidR="00BE4A74">
              <w:rPr>
                <w:noProof/>
              </w:rPr>
              <w:t xml:space="preserve"> (Jackson, 2013)</w:t>
            </w:r>
          </w:fldSimple>
        </w:sdtContent>
      </w:sdt>
      <w:r w:rsidR="00AE0640">
        <w:t>.</w:t>
      </w:r>
    </w:p>
    <w:p w:rsidR="00E15CFE" w:rsidRPr="00B84F2F" w:rsidRDefault="00B54374" w:rsidP="005027E6">
      <w:pPr>
        <w:rPr>
          <w:b/>
        </w:rPr>
      </w:pPr>
      <w:r w:rsidRPr="00B84F2F">
        <w:rPr>
          <w:b/>
        </w:rPr>
        <w:t xml:space="preserve">Criminal </w:t>
      </w:r>
      <w:r w:rsidR="00B84F2F" w:rsidRPr="00B84F2F">
        <w:rPr>
          <w:b/>
        </w:rPr>
        <w:t xml:space="preserve">Law Enforcement </w:t>
      </w:r>
      <w:proofErr w:type="gramStart"/>
      <w:r w:rsidR="00B84F2F" w:rsidRPr="00B84F2F">
        <w:rPr>
          <w:b/>
        </w:rPr>
        <w:t>And</w:t>
      </w:r>
      <w:proofErr w:type="gramEnd"/>
      <w:r w:rsidR="00B84F2F" w:rsidRPr="00B84F2F">
        <w:rPr>
          <w:b/>
        </w:rPr>
        <w:t xml:space="preserve"> Outcomes</w:t>
      </w:r>
    </w:p>
    <w:p w:rsidR="009C679C" w:rsidRDefault="009C679C" w:rsidP="005027E6">
      <w:r w:rsidRPr="009C679C">
        <w:t>The American criminal justice system</w:t>
      </w:r>
      <w:r>
        <w:t xml:space="preserve"> is made f three branches which include </w:t>
      </w:r>
      <w:r w:rsidRPr="009C679C">
        <w:t>law enforcement, the courts</w:t>
      </w:r>
      <w:r w:rsidR="00341750">
        <w:t>,</w:t>
      </w:r>
      <w:r w:rsidRPr="009C679C">
        <w:t xml:space="preserve"> and corrections</w:t>
      </w:r>
      <w:r>
        <w:t>. The branches function within the constituents of law as the term criminal justice expounds the phases and authority organizations that are present to uphold the local laws and federal laws.</w:t>
      </w:r>
      <w:r w:rsidR="0081418E">
        <w:t xml:space="preserve"> To manage the crime, punish the defiant activities considerably and provision of rehabilitation the branches work in hand with various government branches as well.</w:t>
      </w:r>
      <w:r w:rsidR="0089428E">
        <w:t xml:space="preserve"> For instance, law enforcement includes </w:t>
      </w:r>
      <w:r w:rsidR="0089428E" w:rsidRPr="0089428E">
        <w:t>police office</w:t>
      </w:r>
      <w:r w:rsidR="0089428E">
        <w:t>rs, sheriffs</w:t>
      </w:r>
      <w:r w:rsidR="00341750">
        <w:t>,</w:t>
      </w:r>
      <w:r w:rsidR="0089428E">
        <w:t xml:space="preserve"> and federal agents who are the first contacts with offenders.</w:t>
      </w:r>
      <w:r w:rsidR="00817059">
        <w:t xml:space="preserve"> They are mandated on investigation and arrest based on the evidence and probable witness accounts</w:t>
      </w:r>
      <w:sdt>
        <w:sdtPr>
          <w:id w:val="39530040"/>
          <w:citation/>
        </w:sdtPr>
        <w:sdtContent>
          <w:fldSimple w:instr=" CITATION Per19 \l 1033 ">
            <w:r w:rsidR="00AE4E7E">
              <w:rPr>
                <w:noProof/>
              </w:rPr>
              <w:t xml:space="preserve"> (Perlmutter, 2019 )</w:t>
            </w:r>
          </w:fldSimple>
        </w:sdtContent>
      </w:sdt>
      <w:r w:rsidR="00817059">
        <w:t>.</w:t>
      </w:r>
    </w:p>
    <w:p w:rsidR="00FB763E" w:rsidRDefault="00335E0C" w:rsidP="005027E6">
      <w:r>
        <w:t>Taking into consideration the case of boyfriend and girlfriend</w:t>
      </w:r>
      <w:r w:rsidR="006E5FDF">
        <w:t>, the defendant would be prosecuted along with accounts of witnesses and viable evidence.</w:t>
      </w:r>
      <w:r w:rsidR="006B7005">
        <w:t xml:space="preserve"> The impact on sentencing not only affect</w:t>
      </w:r>
      <w:r w:rsidR="00341750">
        <w:t>s</w:t>
      </w:r>
      <w:r w:rsidR="006B7005">
        <w:t xml:space="preserve"> the convicted but also the family in terms of support and family ties. </w:t>
      </w:r>
    </w:p>
    <w:p w:rsidR="00FB763E" w:rsidRDefault="00FB763E">
      <w:r>
        <w:br w:type="page"/>
      </w:r>
    </w:p>
    <w:p w:rsidR="00B84F2F" w:rsidRPr="00B84F2F" w:rsidRDefault="00B84F2F" w:rsidP="00B84F2F">
      <w:pPr>
        <w:pStyle w:val="Bibliography"/>
        <w:ind w:left="720" w:hanging="720"/>
        <w:rPr>
          <w:b/>
        </w:rPr>
      </w:pPr>
      <w:r w:rsidRPr="00B84F2F">
        <w:rPr>
          <w:b/>
        </w:rPr>
        <w:lastRenderedPageBreak/>
        <w:t>References</w:t>
      </w:r>
    </w:p>
    <w:p w:rsidR="00B84F2F" w:rsidRDefault="00B84F2F" w:rsidP="00B84F2F">
      <w:pPr>
        <w:pStyle w:val="Bibliography"/>
        <w:ind w:left="720" w:hanging="720"/>
        <w:rPr>
          <w:noProof/>
        </w:rPr>
      </w:pPr>
      <w:r>
        <w:fldChar w:fldCharType="begin"/>
      </w:r>
      <w:r>
        <w:instrText xml:space="preserve"> BIBLIOGRAPHY  \l 1033 </w:instrText>
      </w:r>
      <w:r>
        <w:fldChar w:fldCharType="separate"/>
      </w:r>
      <w:r>
        <w:rPr>
          <w:noProof/>
        </w:rPr>
        <w:t xml:space="preserve">Crowther, C. (2018). </w:t>
      </w:r>
      <w:r>
        <w:rPr>
          <w:i/>
          <w:iCs/>
          <w:noProof/>
        </w:rPr>
        <w:t>Crimes, penalties, and legislatures. The Annals of the American Academy of Political and Social Science, 381(1), 147-158.</w:t>
      </w:r>
      <w:r>
        <w:rPr>
          <w:noProof/>
        </w:rPr>
        <w:t xml:space="preserve"> </w:t>
      </w:r>
    </w:p>
    <w:p w:rsidR="00B84F2F" w:rsidRDefault="00B84F2F" w:rsidP="00B84F2F">
      <w:pPr>
        <w:pStyle w:val="Bibliography"/>
        <w:ind w:left="720" w:hanging="720"/>
        <w:rPr>
          <w:noProof/>
        </w:rPr>
      </w:pPr>
      <w:r>
        <w:rPr>
          <w:noProof/>
        </w:rPr>
        <w:t xml:space="preserve">George, B. J. (2012). </w:t>
      </w:r>
      <w:r>
        <w:rPr>
          <w:i/>
          <w:iCs/>
          <w:noProof/>
        </w:rPr>
        <w:t>Legal, Medical and Psychiatric Considerations in the Control of Prostitution. Michigan Law Review, 60(6), 717-760.</w:t>
      </w:r>
      <w:r>
        <w:rPr>
          <w:noProof/>
        </w:rPr>
        <w:t xml:space="preserve"> </w:t>
      </w:r>
    </w:p>
    <w:p w:rsidR="00B84F2F" w:rsidRDefault="00B84F2F" w:rsidP="00B84F2F">
      <w:pPr>
        <w:pStyle w:val="Bibliography"/>
        <w:ind w:left="720" w:hanging="720"/>
        <w:rPr>
          <w:noProof/>
        </w:rPr>
      </w:pPr>
      <w:r>
        <w:rPr>
          <w:noProof/>
        </w:rPr>
        <w:t xml:space="preserve">Jackson, T. F. (2013). </w:t>
      </w:r>
      <w:r>
        <w:rPr>
          <w:i/>
          <w:iCs/>
          <w:noProof/>
        </w:rPr>
        <w:t>From civil rights to human rights: Martin Luther King, Jr., and the struggle for economic justice. University of Pennsylvania Press.</w:t>
      </w:r>
      <w:r>
        <w:rPr>
          <w:noProof/>
        </w:rPr>
        <w:t xml:space="preserve"> </w:t>
      </w:r>
    </w:p>
    <w:p w:rsidR="00B84F2F" w:rsidRDefault="00B84F2F" w:rsidP="00B84F2F">
      <w:pPr>
        <w:pStyle w:val="Bibliography"/>
        <w:ind w:left="720" w:hanging="720"/>
        <w:rPr>
          <w:noProof/>
        </w:rPr>
      </w:pPr>
      <w:r>
        <w:rPr>
          <w:noProof/>
        </w:rPr>
        <w:t xml:space="preserve">Perlmutter, S. B. (2019 ). </w:t>
      </w:r>
      <w:r>
        <w:rPr>
          <w:i/>
          <w:iCs/>
          <w:noProof/>
        </w:rPr>
        <w:t>High Times Ahead: Products Liability in Medical Marijuana. Health Matrix, 29, 225.</w:t>
      </w:r>
      <w:r>
        <w:rPr>
          <w:noProof/>
        </w:rPr>
        <w:t xml:space="preserve"> </w:t>
      </w:r>
    </w:p>
    <w:p w:rsidR="00B84F2F" w:rsidRDefault="00B84F2F" w:rsidP="00B84F2F">
      <w:pPr>
        <w:pStyle w:val="Bibliography"/>
        <w:ind w:left="720" w:hanging="720"/>
        <w:rPr>
          <w:noProof/>
        </w:rPr>
      </w:pPr>
      <w:r>
        <w:rPr>
          <w:noProof/>
        </w:rPr>
        <w:t xml:space="preserve">US MPC 2.01(2). (2010). </w:t>
      </w:r>
      <w:r>
        <w:rPr>
          <w:i/>
          <w:iCs/>
          <w:noProof/>
        </w:rPr>
        <w:t>King, J. 2. Atkins v. Virginia 3. Koon v. United States 4. United States v Alkhabaz.</w:t>
      </w:r>
      <w:r>
        <w:rPr>
          <w:noProof/>
        </w:rPr>
        <w:t xml:space="preserve"> </w:t>
      </w:r>
    </w:p>
    <w:p w:rsidR="00B84F2F" w:rsidRDefault="00B84F2F" w:rsidP="00B84F2F">
      <w:pPr>
        <w:pStyle w:val="Bibliography"/>
        <w:ind w:left="720" w:hanging="720"/>
        <w:rPr>
          <w:noProof/>
        </w:rPr>
      </w:pPr>
      <w:r>
        <w:rPr>
          <w:noProof/>
        </w:rPr>
        <w:t xml:space="preserve">Whitt, L. &amp;. (2017). </w:t>
      </w:r>
      <w:r>
        <w:rPr>
          <w:i/>
          <w:iCs/>
          <w:noProof/>
        </w:rPr>
        <w:t>Bringing It Home: North American Genocides. J. Gender Race &amp; Just., 20, 263.</w:t>
      </w:r>
      <w:r>
        <w:rPr>
          <w:noProof/>
        </w:rPr>
        <w:t xml:space="preserve"> </w:t>
      </w:r>
    </w:p>
    <w:p w:rsidR="00B84F2F" w:rsidRDefault="00B84F2F" w:rsidP="00B84F2F">
      <w:pPr>
        <w:pStyle w:val="Bibliography"/>
        <w:ind w:left="720" w:hanging="720"/>
        <w:rPr>
          <w:noProof/>
        </w:rPr>
      </w:pPr>
      <w:r>
        <w:rPr>
          <w:noProof/>
        </w:rPr>
        <w:t xml:space="preserve">Williams, J. E. (2017). </w:t>
      </w:r>
      <w:r>
        <w:rPr>
          <w:i/>
          <w:iCs/>
          <w:noProof/>
        </w:rPr>
        <w:t>The Homicide Act, 1957.</w:t>
      </w:r>
      <w:r>
        <w:rPr>
          <w:noProof/>
        </w:rPr>
        <w:t xml:space="preserve"> </w:t>
      </w:r>
    </w:p>
    <w:p w:rsidR="00E15CFE" w:rsidRDefault="00B84F2F" w:rsidP="00B84F2F">
      <w:r>
        <w:fldChar w:fldCharType="end"/>
      </w:r>
    </w:p>
    <w:sectPr w:rsidR="00E15CFE" w:rsidSect="00B84F2F">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2FE" w:rsidRDefault="001152FE" w:rsidP="0041209B">
      <w:pPr>
        <w:spacing w:line="240" w:lineRule="auto"/>
      </w:pPr>
      <w:r>
        <w:separator/>
      </w:r>
    </w:p>
  </w:endnote>
  <w:endnote w:type="continuationSeparator" w:id="0">
    <w:p w:rsidR="001152FE" w:rsidRDefault="001152FE" w:rsidP="0041209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2FE" w:rsidRDefault="001152FE" w:rsidP="0041209B">
      <w:pPr>
        <w:spacing w:line="240" w:lineRule="auto"/>
      </w:pPr>
      <w:r>
        <w:separator/>
      </w:r>
    </w:p>
  </w:footnote>
  <w:footnote w:type="continuationSeparator" w:id="0">
    <w:p w:rsidR="001152FE" w:rsidRDefault="001152FE" w:rsidP="0041209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0C" w:rsidRDefault="00B84F2F" w:rsidP="00804550">
    <w:pPr>
      <w:pStyle w:val="Header"/>
    </w:pPr>
    <w:r w:rsidRPr="00B84F2F">
      <w:t>CRIMINAL LAW</w:t>
    </w:r>
    <w:r w:rsidR="00335E0C">
      <w:tab/>
    </w:r>
    <w:r w:rsidR="00335E0C">
      <w:tab/>
    </w:r>
    <w:sdt>
      <w:sdtPr>
        <w:id w:val="39530032"/>
        <w:docPartObj>
          <w:docPartGallery w:val="Page Numbers (Top of Page)"/>
          <w:docPartUnique/>
        </w:docPartObj>
      </w:sdtPr>
      <w:sdtContent>
        <w:fldSimple w:instr=" PAGE   \* MERGEFORMAT ">
          <w:r>
            <w:rPr>
              <w:noProof/>
            </w:rPr>
            <w:t>6</w:t>
          </w:r>
        </w:fldSimple>
      </w:sdtContent>
    </w:sdt>
  </w:p>
  <w:p w:rsidR="00335E0C" w:rsidRDefault="00335E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2F" w:rsidRPr="00B84F2F" w:rsidRDefault="00B84F2F">
    <w:pPr>
      <w:pStyle w:val="Header"/>
    </w:pPr>
    <w:r>
      <w:t>R</w:t>
    </w:r>
    <w:r w:rsidRPr="00B84F2F">
      <w:t>unning HEAD: CRIMINAL LAW</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C49C9"/>
    <w:multiLevelType w:val="multilevel"/>
    <w:tmpl w:val="D0EEC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93E0238"/>
    <w:multiLevelType w:val="multilevel"/>
    <w:tmpl w:val="89420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M3MrQwMbC0NDS2MLBU0lEKTi0uzszPAykwqgUAQSrUJiwAAAA="/>
  </w:docVars>
  <w:rsids>
    <w:rsidRoot w:val="00CF42A1"/>
    <w:rsid w:val="000E7F63"/>
    <w:rsid w:val="001152FE"/>
    <w:rsid w:val="00200F5D"/>
    <w:rsid w:val="00207778"/>
    <w:rsid w:val="00223DD7"/>
    <w:rsid w:val="00226E3C"/>
    <w:rsid w:val="00275EF5"/>
    <w:rsid w:val="002E6009"/>
    <w:rsid w:val="002F49CD"/>
    <w:rsid w:val="00335E0C"/>
    <w:rsid w:val="00341750"/>
    <w:rsid w:val="00353801"/>
    <w:rsid w:val="003851E4"/>
    <w:rsid w:val="003B506D"/>
    <w:rsid w:val="003E31C0"/>
    <w:rsid w:val="003E763F"/>
    <w:rsid w:val="003F497D"/>
    <w:rsid w:val="00402DAC"/>
    <w:rsid w:val="0041209B"/>
    <w:rsid w:val="00444E4C"/>
    <w:rsid w:val="00456D3B"/>
    <w:rsid w:val="00457FB0"/>
    <w:rsid w:val="004607E6"/>
    <w:rsid w:val="00473E0C"/>
    <w:rsid w:val="00484EC3"/>
    <w:rsid w:val="004B28B7"/>
    <w:rsid w:val="004E4035"/>
    <w:rsid w:val="005027E6"/>
    <w:rsid w:val="005143B3"/>
    <w:rsid w:val="00527B4B"/>
    <w:rsid w:val="00533A3C"/>
    <w:rsid w:val="00553DC8"/>
    <w:rsid w:val="005A2B25"/>
    <w:rsid w:val="005D7003"/>
    <w:rsid w:val="005D7180"/>
    <w:rsid w:val="005F103A"/>
    <w:rsid w:val="006026C7"/>
    <w:rsid w:val="006B7005"/>
    <w:rsid w:val="006E5FDF"/>
    <w:rsid w:val="0070430B"/>
    <w:rsid w:val="00763FC3"/>
    <w:rsid w:val="00765606"/>
    <w:rsid w:val="0077008F"/>
    <w:rsid w:val="00772A28"/>
    <w:rsid w:val="007B12AC"/>
    <w:rsid w:val="007B5FE9"/>
    <w:rsid w:val="007B7C12"/>
    <w:rsid w:val="008005F8"/>
    <w:rsid w:val="00804550"/>
    <w:rsid w:val="008123E7"/>
    <w:rsid w:val="0081418E"/>
    <w:rsid w:val="00817059"/>
    <w:rsid w:val="0089084B"/>
    <w:rsid w:val="0089428E"/>
    <w:rsid w:val="008C6621"/>
    <w:rsid w:val="008E2B65"/>
    <w:rsid w:val="008F26D2"/>
    <w:rsid w:val="008F520C"/>
    <w:rsid w:val="009076E0"/>
    <w:rsid w:val="00925603"/>
    <w:rsid w:val="00937B4C"/>
    <w:rsid w:val="00942AB8"/>
    <w:rsid w:val="009476F3"/>
    <w:rsid w:val="0096056D"/>
    <w:rsid w:val="00992C56"/>
    <w:rsid w:val="009C4B3E"/>
    <w:rsid w:val="009C679C"/>
    <w:rsid w:val="009D27B9"/>
    <w:rsid w:val="00A16EE6"/>
    <w:rsid w:val="00A82D04"/>
    <w:rsid w:val="00AA5ADF"/>
    <w:rsid w:val="00AE0640"/>
    <w:rsid w:val="00AE4E7E"/>
    <w:rsid w:val="00AF7D44"/>
    <w:rsid w:val="00B54374"/>
    <w:rsid w:val="00B759F2"/>
    <w:rsid w:val="00B84F2F"/>
    <w:rsid w:val="00B9702B"/>
    <w:rsid w:val="00BE4A74"/>
    <w:rsid w:val="00C8672E"/>
    <w:rsid w:val="00CF42A1"/>
    <w:rsid w:val="00D221D6"/>
    <w:rsid w:val="00E00763"/>
    <w:rsid w:val="00E15CFE"/>
    <w:rsid w:val="00EA2403"/>
    <w:rsid w:val="00EC0BFB"/>
    <w:rsid w:val="00ED615A"/>
    <w:rsid w:val="00EE6719"/>
    <w:rsid w:val="00F00750"/>
    <w:rsid w:val="00F42052"/>
    <w:rsid w:val="00F855BC"/>
    <w:rsid w:val="00FB5D89"/>
    <w:rsid w:val="00FB76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4"/>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30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09B"/>
    <w:pPr>
      <w:tabs>
        <w:tab w:val="center" w:pos="4680"/>
        <w:tab w:val="right" w:pos="9360"/>
      </w:tabs>
      <w:spacing w:line="240" w:lineRule="auto"/>
    </w:pPr>
  </w:style>
  <w:style w:type="character" w:customStyle="1" w:styleId="HeaderChar">
    <w:name w:val="Header Char"/>
    <w:basedOn w:val="DefaultParagraphFont"/>
    <w:link w:val="Header"/>
    <w:uiPriority w:val="99"/>
    <w:rsid w:val="0041209B"/>
  </w:style>
  <w:style w:type="paragraph" w:styleId="Footer">
    <w:name w:val="footer"/>
    <w:basedOn w:val="Normal"/>
    <w:link w:val="FooterChar"/>
    <w:uiPriority w:val="99"/>
    <w:semiHidden/>
    <w:unhideWhenUsed/>
    <w:rsid w:val="0041209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1209B"/>
  </w:style>
  <w:style w:type="character" w:styleId="Hyperlink">
    <w:name w:val="Hyperlink"/>
    <w:basedOn w:val="DefaultParagraphFont"/>
    <w:uiPriority w:val="99"/>
    <w:unhideWhenUsed/>
    <w:rsid w:val="00EC0BFB"/>
    <w:rPr>
      <w:color w:val="0000FF" w:themeColor="hyperlink"/>
      <w:u w:val="single"/>
    </w:rPr>
  </w:style>
  <w:style w:type="paragraph" w:styleId="BalloonText">
    <w:name w:val="Balloon Text"/>
    <w:basedOn w:val="Normal"/>
    <w:link w:val="BalloonTextChar"/>
    <w:uiPriority w:val="99"/>
    <w:semiHidden/>
    <w:unhideWhenUsed/>
    <w:rsid w:val="00AE4E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E7E"/>
    <w:rPr>
      <w:rFonts w:ascii="Tahoma" w:hAnsi="Tahoma" w:cs="Tahoma"/>
      <w:sz w:val="16"/>
      <w:szCs w:val="16"/>
    </w:rPr>
  </w:style>
  <w:style w:type="paragraph" w:styleId="Bibliography">
    <w:name w:val="Bibliography"/>
    <w:basedOn w:val="Normal"/>
    <w:next w:val="Normal"/>
    <w:uiPriority w:val="37"/>
    <w:unhideWhenUsed/>
    <w:rsid w:val="00B84F2F"/>
  </w:style>
</w:styles>
</file>

<file path=word/webSettings.xml><?xml version="1.0" encoding="utf-8"?>
<w:webSettings xmlns:r="http://schemas.openxmlformats.org/officeDocument/2006/relationships" xmlns:w="http://schemas.openxmlformats.org/wordprocessingml/2006/main">
  <w:divs>
    <w:div w:id="136146898">
      <w:bodyDiv w:val="1"/>
      <w:marLeft w:val="0"/>
      <w:marRight w:val="0"/>
      <w:marTop w:val="0"/>
      <w:marBottom w:val="0"/>
      <w:divBdr>
        <w:top w:val="none" w:sz="0" w:space="0" w:color="auto"/>
        <w:left w:val="none" w:sz="0" w:space="0" w:color="auto"/>
        <w:bottom w:val="none" w:sz="0" w:space="0" w:color="auto"/>
        <w:right w:val="none" w:sz="0" w:space="0" w:color="auto"/>
      </w:divBdr>
    </w:div>
    <w:div w:id="270548922">
      <w:bodyDiv w:val="1"/>
      <w:marLeft w:val="0"/>
      <w:marRight w:val="0"/>
      <w:marTop w:val="0"/>
      <w:marBottom w:val="0"/>
      <w:divBdr>
        <w:top w:val="none" w:sz="0" w:space="0" w:color="auto"/>
        <w:left w:val="none" w:sz="0" w:space="0" w:color="auto"/>
        <w:bottom w:val="none" w:sz="0" w:space="0" w:color="auto"/>
        <w:right w:val="none" w:sz="0" w:space="0" w:color="auto"/>
      </w:divBdr>
    </w:div>
    <w:div w:id="630017119">
      <w:bodyDiv w:val="1"/>
      <w:marLeft w:val="0"/>
      <w:marRight w:val="0"/>
      <w:marTop w:val="0"/>
      <w:marBottom w:val="0"/>
      <w:divBdr>
        <w:top w:val="none" w:sz="0" w:space="0" w:color="auto"/>
        <w:left w:val="none" w:sz="0" w:space="0" w:color="auto"/>
        <w:bottom w:val="none" w:sz="0" w:space="0" w:color="auto"/>
        <w:right w:val="none" w:sz="0" w:space="0" w:color="auto"/>
      </w:divBdr>
    </w:div>
    <w:div w:id="807745810">
      <w:bodyDiv w:val="1"/>
      <w:marLeft w:val="0"/>
      <w:marRight w:val="0"/>
      <w:marTop w:val="0"/>
      <w:marBottom w:val="0"/>
      <w:divBdr>
        <w:top w:val="none" w:sz="0" w:space="0" w:color="auto"/>
        <w:left w:val="none" w:sz="0" w:space="0" w:color="auto"/>
        <w:bottom w:val="none" w:sz="0" w:space="0" w:color="auto"/>
        <w:right w:val="none" w:sz="0" w:space="0" w:color="auto"/>
      </w:divBdr>
    </w:div>
    <w:div w:id="1088422444">
      <w:bodyDiv w:val="1"/>
      <w:marLeft w:val="0"/>
      <w:marRight w:val="0"/>
      <w:marTop w:val="0"/>
      <w:marBottom w:val="0"/>
      <w:divBdr>
        <w:top w:val="none" w:sz="0" w:space="0" w:color="auto"/>
        <w:left w:val="none" w:sz="0" w:space="0" w:color="auto"/>
        <w:bottom w:val="none" w:sz="0" w:space="0" w:color="auto"/>
        <w:right w:val="none" w:sz="0" w:space="0" w:color="auto"/>
      </w:divBdr>
      <w:divsChild>
        <w:div w:id="1842349118">
          <w:marLeft w:val="0"/>
          <w:marRight w:val="0"/>
          <w:marTop w:val="0"/>
          <w:marBottom w:val="272"/>
          <w:divBdr>
            <w:top w:val="none" w:sz="0" w:space="0" w:color="auto"/>
            <w:left w:val="none" w:sz="0" w:space="0" w:color="auto"/>
            <w:bottom w:val="none" w:sz="0" w:space="0" w:color="auto"/>
            <w:right w:val="none" w:sz="0" w:space="0" w:color="auto"/>
          </w:divBdr>
        </w:div>
        <w:div w:id="1495225014">
          <w:marLeft w:val="0"/>
          <w:marRight w:val="0"/>
          <w:marTop w:val="0"/>
          <w:marBottom w:val="0"/>
          <w:divBdr>
            <w:top w:val="none" w:sz="0" w:space="0" w:color="auto"/>
            <w:left w:val="none" w:sz="0" w:space="0" w:color="auto"/>
            <w:bottom w:val="none" w:sz="0" w:space="0" w:color="auto"/>
            <w:right w:val="none" w:sz="0" w:space="0" w:color="auto"/>
          </w:divBdr>
        </w:div>
      </w:divsChild>
    </w:div>
    <w:div w:id="1206789669">
      <w:bodyDiv w:val="1"/>
      <w:marLeft w:val="0"/>
      <w:marRight w:val="0"/>
      <w:marTop w:val="0"/>
      <w:marBottom w:val="0"/>
      <w:divBdr>
        <w:top w:val="none" w:sz="0" w:space="0" w:color="auto"/>
        <w:left w:val="none" w:sz="0" w:space="0" w:color="auto"/>
        <w:bottom w:val="none" w:sz="0" w:space="0" w:color="auto"/>
        <w:right w:val="none" w:sz="0" w:space="0" w:color="auto"/>
      </w:divBdr>
    </w:div>
    <w:div w:id="1432970133">
      <w:bodyDiv w:val="1"/>
      <w:marLeft w:val="0"/>
      <w:marRight w:val="0"/>
      <w:marTop w:val="0"/>
      <w:marBottom w:val="0"/>
      <w:divBdr>
        <w:top w:val="none" w:sz="0" w:space="0" w:color="auto"/>
        <w:left w:val="none" w:sz="0" w:space="0" w:color="auto"/>
        <w:bottom w:val="none" w:sz="0" w:space="0" w:color="auto"/>
        <w:right w:val="none" w:sz="0" w:space="0" w:color="auto"/>
      </w:divBdr>
      <w:divsChild>
        <w:div w:id="593786297">
          <w:marLeft w:val="0"/>
          <w:marRight w:val="336"/>
          <w:marTop w:val="120"/>
          <w:marBottom w:val="312"/>
          <w:divBdr>
            <w:top w:val="none" w:sz="0" w:space="0" w:color="auto"/>
            <w:left w:val="none" w:sz="0" w:space="0" w:color="auto"/>
            <w:bottom w:val="none" w:sz="0" w:space="0" w:color="auto"/>
            <w:right w:val="none" w:sz="0" w:space="0" w:color="auto"/>
          </w:divBdr>
          <w:divsChild>
            <w:div w:id="346294353">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98916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Per19</b:Tag>
    <b:SourceType>Book</b:SourceType>
    <b:Guid>{1F634BF0-E06A-4DDF-9278-5BAF4384F586}</b:Guid>
    <b:LCID>0</b:LCID>
    <b:Author>
      <b:Author>
        <b:NameList>
          <b:Person>
            <b:Last>Perlmutter</b:Last>
            <b:First>S.</b:First>
            <b:Middle>B.</b:Middle>
          </b:Person>
        </b:NameList>
      </b:Author>
    </b:Author>
    <b:Title>High Times Ahead: Products Liability in Medical Marijuana. Health Matrix, 29, 225.</b:Title>
    <b:Year>2019 </b:Year>
    <b:RefOrder>7</b:RefOrder>
  </b:Source>
  <b:Source>
    <b:Tag>USM10</b:Tag>
    <b:SourceType>Book</b:SourceType>
    <b:Guid>{4341E84F-8EEB-4167-B7B3-B55D13B02428}</b:Guid>
    <b:LCID>0</b:LCID>
    <b:Author>
      <b:Author>
        <b:NameList>
          <b:Person>
            <b:Last>US MPC 2.01(2)</b:Last>
          </b:Person>
        </b:NameList>
      </b:Author>
    </b:Author>
    <b:Title>King, J. 2. Atkins v. Virginia 3. Koon v. United States 4. United States v Alkhabaz.</b:Title>
    <b:Year>2010</b:Year>
    <b:RefOrder>5</b:RefOrder>
  </b:Source>
  <b:Source>
    <b:Tag>Whi17</b:Tag>
    <b:SourceType>Book</b:SourceType>
    <b:Guid>{238EBD8E-00A1-4EC1-B365-E0F751504EFE}</b:Guid>
    <b:LCID>0</b:LCID>
    <b:Author>
      <b:Author>
        <b:NameList>
          <b:Person>
            <b:Last>Whitt</b:Last>
            <b:First>L.,</b:First>
            <b:Middle>&amp; Clarke, A. W.</b:Middle>
          </b:Person>
        </b:NameList>
      </b:Author>
    </b:Author>
    <b:Title>Bringing It Home: North American Genocides. J. Gender Race &amp; Just., 20, 263.</b:Title>
    <b:Year>2017</b:Year>
    <b:RefOrder>1</b:RefOrder>
  </b:Source>
  <b:Source>
    <b:Tag>Cro18</b:Tag>
    <b:SourceType>Book</b:SourceType>
    <b:Guid>{AF987F73-731C-405E-988C-034EE9424112}</b:Guid>
    <b:LCID>0</b:LCID>
    <b:Author>
      <b:Author>
        <b:NameList>
          <b:Person>
            <b:Last>Crowther</b:Last>
            <b:First>C.</b:First>
          </b:Person>
        </b:NameList>
      </b:Author>
    </b:Author>
    <b:Title> Crimes, penalties, and legislatures. The Annals of the American Academy of Political and Social Science, 381(1), 147-158.</b:Title>
    <b:Year>2018</b:Year>
    <b:RefOrder>2</b:RefOrder>
  </b:Source>
  <b:Source>
    <b:Tag>Wil17</b:Tag>
    <b:SourceType>Book</b:SourceType>
    <b:Guid>{0337BA7D-4F78-40E0-A3F0-328670F11675}</b:Guid>
    <b:LCID>0</b:LCID>
    <b:Author>
      <b:Author>
        <b:NameList>
          <b:Person>
            <b:Last>Williams</b:Last>
            <b:First>J.</b:First>
            <b:Middle>E.</b:Middle>
          </b:Person>
        </b:NameList>
      </b:Author>
    </b:Author>
    <b:Title> The Homicide Act, 1957.</b:Title>
    <b:Year>2017</b:Year>
    <b:RefOrder>3</b:RefOrder>
  </b:Source>
  <b:Source>
    <b:Tag>Jac13</b:Tag>
    <b:SourceType>Book</b:SourceType>
    <b:Guid>{EB264ADF-9E29-4D1C-8CAD-5A59BB9B2549}</b:Guid>
    <b:LCID>0</b:LCID>
    <b:Author>
      <b:Author>
        <b:NameList>
          <b:Person>
            <b:Last>Jackson</b:Last>
            <b:First>T.</b:First>
            <b:Middle>F.</b:Middle>
          </b:Person>
        </b:NameList>
      </b:Author>
    </b:Author>
    <b:Title> From civil rights to human rights: Martin Luther King, Jr., and the struggle for economic justice. University of Pennsylvania Press.</b:Title>
    <b:Year>2013</b:Year>
    <b:RefOrder>6</b:RefOrder>
  </b:Source>
  <b:Source>
    <b:Tag>Geo12</b:Tag>
    <b:SourceType>Book</b:SourceType>
    <b:Guid>{6E3726C3-AFDE-4E74-BADF-2872C2363C19}</b:Guid>
    <b:LCID>0</b:LCID>
    <b:Author>
      <b:Author>
        <b:NameList>
          <b:Person>
            <b:Last>George</b:Last>
            <b:First>B.</b:First>
            <b:Middle>J.</b:Middle>
          </b:Person>
        </b:NameList>
      </b:Author>
    </b:Author>
    <b:Title> Legal, Medical and Psychiatric Considerations in the Control of Prostitution. Michigan Law Review, 60(6), 717-760.</b:Title>
    <b:Year>2012</b:Year>
    <b:RefOrder>4</b:RefOrder>
  </b:Source>
</b:Sources>
</file>

<file path=customXml/itemProps1.xml><?xml version="1.0" encoding="utf-8"?>
<ds:datastoreItem xmlns:ds="http://schemas.openxmlformats.org/officeDocument/2006/customXml" ds:itemID="{AA685549-EC67-48DA-8981-DA60629EE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7</Pages>
  <Words>1620</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FRANCISCO QUALITY</dc:creator>
  <cp:lastModifiedBy>FRANCISCO QUALITY</cp:lastModifiedBy>
  <cp:revision>74</cp:revision>
  <dcterms:created xsi:type="dcterms:W3CDTF">2020-06-15T19:10:00Z</dcterms:created>
  <dcterms:modified xsi:type="dcterms:W3CDTF">2020-06-16T08:38:00Z</dcterms:modified>
</cp:coreProperties>
</file>